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hd w:val="clear" w:color="auto" w:fill="FFFFFF"/>
        <w:kinsoku/>
        <w:overflowPunct/>
        <w:topLinePunct w:val="0"/>
        <w:autoSpaceDE/>
        <w:autoSpaceDN/>
        <w:bidi w:val="0"/>
        <w:adjustRightInd/>
        <w:snapToGrid/>
        <w:spacing w:beforeAutospacing="0" w:afterAutospacing="0" w:line="240" w:lineRule="auto"/>
        <w:jc w:val="center"/>
        <w:textAlignment w:val="auto"/>
        <w:rPr>
          <w:rFonts w:hint="eastAsia" w:ascii="方正小标宋简体" w:hAnsi="方正小标宋简体" w:eastAsia="方正小标宋简体" w:cs="方正小标宋简体"/>
          <w:b w:val="0"/>
          <w:bCs w:val="0"/>
          <w:color w:val="auto"/>
          <w:sz w:val="44"/>
          <w:szCs w:val="44"/>
          <w:shd w:val="clear" w:color="auto" w:fill="FFFFFF"/>
        </w:rPr>
      </w:pPr>
      <w:r>
        <w:rPr>
          <w:rFonts w:hint="eastAsia" w:ascii="方正小标宋简体" w:hAnsi="方正小标宋简体" w:eastAsia="方正小标宋简体" w:cs="方正小标宋简体"/>
          <w:b w:val="0"/>
          <w:bCs w:val="0"/>
          <w:color w:val="auto"/>
          <w:sz w:val="44"/>
          <w:szCs w:val="44"/>
          <w:shd w:val="clear" w:color="auto" w:fill="FFFFFF"/>
        </w:rPr>
        <w:t>交通运输行业标准《悬索桥索鞍索夹》</w:t>
      </w:r>
    </w:p>
    <w:p>
      <w:pPr>
        <w:pStyle w:val="2"/>
        <w:keepNext w:val="0"/>
        <w:keepLines w:val="0"/>
        <w:pageBreakBefore w:val="0"/>
        <w:widowControl/>
        <w:shd w:val="clear" w:color="auto" w:fill="FFFFFF"/>
        <w:kinsoku/>
        <w:overflowPunct/>
        <w:topLinePunct w:val="0"/>
        <w:autoSpaceDE/>
        <w:autoSpaceDN/>
        <w:bidi w:val="0"/>
        <w:adjustRightInd/>
        <w:snapToGrid/>
        <w:spacing w:beforeAutospacing="0" w:afterAutospacing="0" w:line="240" w:lineRule="auto"/>
        <w:jc w:val="center"/>
        <w:textAlignment w:val="auto"/>
        <w:rPr>
          <w:rFonts w:hint="eastAsia" w:ascii="方正小标宋简体" w:hAnsi="方正小标宋简体" w:eastAsia="方正小标宋简体" w:cs="方正小标宋简体"/>
          <w:b w:val="0"/>
          <w:bCs w:val="0"/>
          <w:color w:val="auto"/>
          <w:sz w:val="44"/>
          <w:szCs w:val="44"/>
          <w:shd w:val="clear" w:color="auto" w:fill="FFFFFF"/>
        </w:rPr>
      </w:pPr>
      <w:r>
        <w:rPr>
          <w:rFonts w:hint="eastAsia" w:ascii="方正小标宋简体" w:hAnsi="方正小标宋简体" w:eastAsia="方正小标宋简体" w:cs="方正小标宋简体"/>
          <w:b w:val="0"/>
          <w:bCs w:val="0"/>
          <w:color w:val="auto"/>
          <w:sz w:val="44"/>
          <w:szCs w:val="44"/>
          <w:shd w:val="clear" w:color="auto" w:fill="FFFFFF"/>
        </w:rPr>
        <w:t>修订解读</w:t>
      </w:r>
    </w:p>
    <w:p>
      <w:pPr>
        <w:rPr>
          <w:rFonts w:hint="eastAsia"/>
        </w:rPr>
      </w:pPr>
    </w:p>
    <w:p>
      <w:pPr>
        <w:keepNext w:val="0"/>
        <w:keepLines w:val="0"/>
        <w:pageBreakBefore w:val="0"/>
        <w:widowControl/>
        <w:kinsoku/>
        <w:overflowPunct/>
        <w:topLinePunct w:val="0"/>
        <w:autoSpaceDE/>
        <w:autoSpaceDN/>
        <w:bidi w:val="0"/>
        <w:adjustRightInd/>
        <w:snapToGrid/>
        <w:spacing w:line="240" w:lineRule="auto"/>
        <w:ind w:firstLine="482"/>
        <w:jc w:val="left"/>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shd w:val="clear" w:color="auto" w:fill="FFFFFF"/>
          <w:lang w:bidi="ar"/>
        </w:rPr>
        <w:t>交通运输部于20</w:t>
      </w:r>
      <w:r>
        <w:rPr>
          <w:rFonts w:hint="eastAsia" w:ascii="仿宋" w:hAnsi="仿宋" w:eastAsia="仿宋" w:cs="仿宋"/>
          <w:color w:val="auto"/>
          <w:kern w:val="0"/>
          <w:sz w:val="32"/>
          <w:szCs w:val="32"/>
          <w:shd w:val="clear" w:color="auto" w:fill="FFFFFF"/>
          <w:lang w:val="en-US" w:eastAsia="zh-CN" w:bidi="ar"/>
        </w:rPr>
        <w:t>24</w:t>
      </w:r>
      <w:r>
        <w:rPr>
          <w:rFonts w:hint="eastAsia" w:ascii="仿宋" w:hAnsi="仿宋" w:eastAsia="仿宋" w:cs="仿宋"/>
          <w:color w:val="auto"/>
          <w:kern w:val="0"/>
          <w:sz w:val="32"/>
          <w:szCs w:val="32"/>
          <w:shd w:val="clear" w:color="auto" w:fill="FFFFFF"/>
          <w:lang w:bidi="ar"/>
        </w:rPr>
        <w:t>年</w:t>
      </w:r>
      <w:r>
        <w:rPr>
          <w:rFonts w:hint="eastAsia" w:ascii="仿宋" w:hAnsi="仿宋" w:eastAsia="仿宋" w:cs="仿宋"/>
          <w:color w:val="auto"/>
          <w:kern w:val="0"/>
          <w:sz w:val="32"/>
          <w:szCs w:val="32"/>
          <w:shd w:val="clear" w:color="auto" w:fill="FFFFFF"/>
          <w:lang w:val="en-US" w:eastAsia="zh-CN" w:bidi="ar"/>
        </w:rPr>
        <w:t>11</w:t>
      </w:r>
      <w:r>
        <w:rPr>
          <w:rFonts w:hint="eastAsia" w:ascii="仿宋" w:hAnsi="仿宋" w:eastAsia="仿宋" w:cs="仿宋"/>
          <w:color w:val="auto"/>
          <w:kern w:val="0"/>
          <w:sz w:val="32"/>
          <w:szCs w:val="32"/>
          <w:shd w:val="clear" w:color="auto" w:fill="FFFFFF"/>
          <w:lang w:bidi="ar"/>
        </w:rPr>
        <w:t>月</w:t>
      </w:r>
      <w:r>
        <w:rPr>
          <w:rFonts w:hint="eastAsia" w:ascii="仿宋" w:hAnsi="仿宋" w:eastAsia="仿宋" w:cs="仿宋"/>
          <w:color w:val="auto"/>
          <w:kern w:val="0"/>
          <w:sz w:val="32"/>
          <w:szCs w:val="32"/>
          <w:shd w:val="clear" w:color="auto" w:fill="FFFFFF"/>
          <w:lang w:val="en-US" w:eastAsia="zh-CN" w:bidi="ar"/>
        </w:rPr>
        <w:t>08</w:t>
      </w:r>
      <w:r>
        <w:rPr>
          <w:rFonts w:hint="eastAsia" w:ascii="仿宋" w:hAnsi="仿宋" w:eastAsia="仿宋" w:cs="仿宋"/>
          <w:color w:val="auto"/>
          <w:kern w:val="0"/>
          <w:sz w:val="32"/>
          <w:szCs w:val="32"/>
          <w:shd w:val="clear" w:color="auto" w:fill="FFFFFF"/>
          <w:lang w:bidi="ar"/>
        </w:rPr>
        <w:t>日批准发布了推荐性行业标准《悬索桥索鞍索夹》（JT/T 903-2024），自20</w:t>
      </w:r>
      <w:r>
        <w:rPr>
          <w:rFonts w:hint="eastAsia" w:ascii="仿宋" w:hAnsi="仿宋" w:eastAsia="仿宋" w:cs="仿宋"/>
          <w:color w:val="auto"/>
          <w:kern w:val="0"/>
          <w:sz w:val="32"/>
          <w:szCs w:val="32"/>
          <w:shd w:val="clear" w:color="auto" w:fill="FFFFFF"/>
          <w:lang w:val="en-US" w:eastAsia="zh-CN" w:bidi="ar"/>
        </w:rPr>
        <w:t>25</w:t>
      </w:r>
      <w:r>
        <w:rPr>
          <w:rFonts w:hint="eastAsia" w:ascii="仿宋" w:hAnsi="仿宋" w:eastAsia="仿宋" w:cs="仿宋"/>
          <w:color w:val="auto"/>
          <w:kern w:val="0"/>
          <w:sz w:val="32"/>
          <w:szCs w:val="32"/>
          <w:shd w:val="clear" w:color="auto" w:fill="FFFFFF"/>
          <w:lang w:bidi="ar"/>
        </w:rPr>
        <w:t>年</w:t>
      </w:r>
      <w:r>
        <w:rPr>
          <w:rFonts w:hint="eastAsia" w:ascii="仿宋" w:hAnsi="仿宋" w:eastAsia="仿宋" w:cs="仿宋"/>
          <w:color w:val="auto"/>
          <w:kern w:val="0"/>
          <w:sz w:val="32"/>
          <w:szCs w:val="32"/>
          <w:shd w:val="clear" w:color="auto" w:fill="FFFFFF"/>
          <w:lang w:val="en-US" w:eastAsia="zh-CN" w:bidi="ar"/>
        </w:rPr>
        <w:t>03</w:t>
      </w:r>
      <w:r>
        <w:rPr>
          <w:rFonts w:hint="eastAsia" w:ascii="仿宋" w:hAnsi="仿宋" w:eastAsia="仿宋" w:cs="仿宋"/>
          <w:color w:val="auto"/>
          <w:kern w:val="0"/>
          <w:sz w:val="32"/>
          <w:szCs w:val="32"/>
          <w:shd w:val="clear" w:color="auto" w:fill="FFFFFF"/>
          <w:lang w:bidi="ar"/>
        </w:rPr>
        <w:t>月</w:t>
      </w:r>
      <w:r>
        <w:rPr>
          <w:rFonts w:hint="eastAsia" w:ascii="仿宋" w:hAnsi="仿宋" w:eastAsia="仿宋" w:cs="仿宋"/>
          <w:color w:val="auto"/>
          <w:kern w:val="0"/>
          <w:sz w:val="32"/>
          <w:szCs w:val="32"/>
          <w:shd w:val="clear" w:color="auto" w:fill="FFFFFF"/>
          <w:lang w:val="en-US" w:eastAsia="zh-CN" w:bidi="ar"/>
        </w:rPr>
        <w:t>01</w:t>
      </w:r>
      <w:r>
        <w:rPr>
          <w:rFonts w:hint="eastAsia" w:ascii="仿宋" w:hAnsi="仿宋" w:eastAsia="仿宋" w:cs="仿宋"/>
          <w:color w:val="auto"/>
          <w:kern w:val="0"/>
          <w:sz w:val="32"/>
          <w:szCs w:val="32"/>
          <w:shd w:val="clear" w:color="auto" w:fill="FFFFFF"/>
          <w:lang w:bidi="ar"/>
        </w:rPr>
        <w:t>日起实施。</w:t>
      </w:r>
    </w:p>
    <w:p>
      <w:pPr>
        <w:keepNext w:val="0"/>
        <w:keepLines w:val="0"/>
        <w:pageBreakBefore w:val="0"/>
        <w:widowControl/>
        <w:kinsoku/>
        <w:overflowPunct/>
        <w:topLinePunct w:val="0"/>
        <w:autoSpaceDE/>
        <w:autoSpaceDN/>
        <w:bidi w:val="0"/>
        <w:adjustRightInd/>
        <w:snapToGrid/>
        <w:spacing w:line="240" w:lineRule="auto"/>
        <w:ind w:firstLine="482"/>
        <w:jc w:val="left"/>
        <w:textAlignment w:val="auto"/>
        <w:rPr>
          <w:rFonts w:hint="eastAsia" w:ascii="仿宋" w:hAnsi="仿宋" w:eastAsia="仿宋" w:cs="仿宋"/>
          <w:b/>
          <w:color w:val="auto"/>
          <w:sz w:val="32"/>
          <w:szCs w:val="32"/>
        </w:rPr>
      </w:pPr>
      <w:r>
        <w:rPr>
          <w:rFonts w:hint="eastAsia" w:ascii="仿宋" w:hAnsi="仿宋" w:eastAsia="仿宋" w:cs="仿宋"/>
          <w:b/>
          <w:color w:val="auto"/>
          <w:kern w:val="0"/>
          <w:sz w:val="32"/>
          <w:szCs w:val="32"/>
          <w:shd w:val="clear" w:color="auto" w:fill="FFFFFF"/>
          <w:lang w:bidi="ar"/>
        </w:rPr>
        <w:t>一、修订背景</w:t>
      </w:r>
    </w:p>
    <w:p>
      <w:pPr>
        <w:keepNext w:val="0"/>
        <w:keepLines w:val="0"/>
        <w:pageBreakBefore w:val="0"/>
        <w:widowControl/>
        <w:kinsoku/>
        <w:overflowPunct/>
        <w:topLinePunct w:val="0"/>
        <w:autoSpaceDE/>
        <w:autoSpaceDN/>
        <w:bidi w:val="0"/>
        <w:adjustRightInd/>
        <w:snapToGrid/>
        <w:spacing w:line="240" w:lineRule="auto"/>
        <w:ind w:firstLine="482"/>
        <w:jc w:val="left"/>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highlight w:val="none"/>
          <w:shd w:val="clear" w:color="auto" w:fill="FFFFFF"/>
          <w:lang w:bidi="ar"/>
        </w:rPr>
        <w:t>索鞍、索夹是悬索桥“生命线”——主缆的重要支撑构件，是保证悬索桥安全运营的重要组成部分。本标准从2014年发布以来，已经在虎门二桥、清水河大桥、万州四桥、杨泗港长江大桥、五峰山公铁两用桥、深中通道伶仃</w:t>
      </w:r>
      <w:bookmarkStart w:id="0" w:name="_GoBack"/>
      <w:bookmarkEnd w:id="0"/>
      <w:r>
        <w:rPr>
          <w:rFonts w:hint="eastAsia" w:ascii="仿宋" w:hAnsi="仿宋" w:eastAsia="仿宋" w:cs="仿宋"/>
          <w:color w:val="auto"/>
          <w:kern w:val="0"/>
          <w:sz w:val="32"/>
          <w:szCs w:val="32"/>
          <w:highlight w:val="none"/>
          <w:shd w:val="clear" w:color="auto" w:fill="FFFFFF"/>
          <w:lang w:bidi="ar"/>
        </w:rPr>
        <w:t>洋大桥等多座特大型桥梁上得到应用，成为项目招标、结构设计、加工制造的重要依据，为行业的发展做出了应有的贡献。但是随着材料技术、检测技术的发展，也暴露出了一些不足之处。通过</w:t>
      </w:r>
      <w:r>
        <w:rPr>
          <w:rFonts w:hint="eastAsia" w:ascii="仿宋" w:hAnsi="仿宋" w:eastAsia="仿宋" w:cs="仿宋"/>
          <w:color w:val="auto"/>
          <w:kern w:val="0"/>
          <w:sz w:val="32"/>
          <w:szCs w:val="32"/>
          <w:shd w:val="clear" w:color="auto" w:fill="FFFFFF"/>
          <w:lang w:bidi="ar"/>
        </w:rPr>
        <w:t>本标准的修订，既要满足保障桥梁高品质发展的技术需求，又要体现行业标准“筑牢安全底线”的管理作用。</w:t>
      </w:r>
    </w:p>
    <w:p>
      <w:pPr>
        <w:keepNext w:val="0"/>
        <w:keepLines w:val="0"/>
        <w:pageBreakBefore w:val="0"/>
        <w:widowControl/>
        <w:kinsoku/>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基于上述背景，交通运输部组织相关单位开展了推荐性行业标准《悬索桥索鞍索夹》的修订工作</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我公司是主编单位</w:t>
      </w:r>
      <w:r>
        <w:rPr>
          <w:rFonts w:hint="eastAsia" w:ascii="仿宋" w:hAnsi="仿宋" w:eastAsia="仿宋" w:cs="仿宋"/>
          <w:color w:val="auto"/>
          <w:kern w:val="0"/>
          <w:sz w:val="32"/>
          <w:szCs w:val="32"/>
        </w:rPr>
        <w:t>。</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shd w:val="clear" w:color="auto" w:fill="FFFFFF"/>
          <w:lang w:bidi="ar"/>
        </w:rPr>
        <w:t>二、标准的定位和作用</w:t>
      </w:r>
    </w:p>
    <w:p>
      <w:pPr>
        <w:keepNext w:val="0"/>
        <w:keepLines w:val="0"/>
        <w:pageBreakBefore w:val="0"/>
        <w:widowControl/>
        <w:kinsoku/>
        <w:overflowPunct/>
        <w:topLinePunct w:val="0"/>
        <w:autoSpaceDE/>
        <w:autoSpaceDN/>
        <w:bidi w:val="0"/>
        <w:adjustRightInd/>
        <w:snapToGrid/>
        <w:spacing w:line="240" w:lineRule="auto"/>
        <w:ind w:firstLine="482"/>
        <w:jc w:val="left"/>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bidi="ar"/>
        </w:rPr>
        <w:t>本标准规定了悬索桥索鞍、索夹的分类、型号及结构形式、技术要求、试验方法、检验规则，以及标志、包装、运输与储存等要求。适用于悬索桥索鞍、索夹。</w:t>
      </w:r>
    </w:p>
    <w:p>
      <w:pPr>
        <w:keepNext w:val="0"/>
        <w:keepLines w:val="0"/>
        <w:pageBreakBefore w:val="0"/>
        <w:widowControl/>
        <w:kinsoku/>
        <w:overflowPunct/>
        <w:topLinePunct w:val="0"/>
        <w:autoSpaceDE/>
        <w:autoSpaceDN/>
        <w:bidi w:val="0"/>
        <w:adjustRightInd/>
        <w:snapToGrid/>
        <w:spacing w:line="240" w:lineRule="auto"/>
        <w:ind w:firstLine="482"/>
        <w:jc w:val="left"/>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bidi="ar"/>
        </w:rPr>
        <w:t>作为交通运输行业推荐性标准，本标准目前已被我国公路行业所有悬索桥、铁路行业大部分悬索桥所采用。从索鞍、索夹的材料选用、结构形式、性能试验、验收等方面，贯穿设计、施工、监理等桥梁建设的各个环节，成为悬索桥索鞍索夹特殊产品评判的行业内的唯一标准。经过修订后，更加能够反映我国悬索桥索鞍、索夹的建设实际，更好的应用于桥梁建设。</w:t>
      </w:r>
    </w:p>
    <w:p>
      <w:pPr>
        <w:keepNext w:val="0"/>
        <w:keepLines w:val="0"/>
        <w:pageBreakBefore w:val="0"/>
        <w:widowControl/>
        <w:kinsoku/>
        <w:overflowPunct/>
        <w:topLinePunct w:val="0"/>
        <w:autoSpaceDE/>
        <w:autoSpaceDN/>
        <w:bidi w:val="0"/>
        <w:adjustRightInd/>
        <w:snapToGrid/>
        <w:spacing w:line="240" w:lineRule="auto"/>
        <w:ind w:firstLine="480"/>
        <w:jc w:val="left"/>
        <w:textAlignment w:val="auto"/>
        <w:rPr>
          <w:rFonts w:hint="eastAsia" w:ascii="仿宋" w:hAnsi="仿宋" w:eastAsia="仿宋" w:cs="仿宋"/>
          <w:b/>
          <w:color w:val="auto"/>
          <w:sz w:val="32"/>
          <w:szCs w:val="32"/>
        </w:rPr>
      </w:pPr>
      <w:r>
        <w:rPr>
          <w:rFonts w:hint="eastAsia" w:ascii="仿宋" w:hAnsi="仿宋" w:eastAsia="仿宋" w:cs="仿宋"/>
          <w:b/>
          <w:color w:val="auto"/>
          <w:kern w:val="0"/>
          <w:sz w:val="32"/>
          <w:szCs w:val="32"/>
          <w:shd w:val="clear" w:color="auto" w:fill="FFFFFF"/>
          <w:lang w:bidi="ar"/>
        </w:rPr>
        <w:t>三、主要修订内容</w:t>
      </w:r>
    </w:p>
    <w:p>
      <w:pPr>
        <w:keepNext w:val="0"/>
        <w:keepLines w:val="0"/>
        <w:pageBreakBefore w:val="0"/>
        <w:widowControl/>
        <w:kinsoku/>
        <w:overflowPunct/>
        <w:topLinePunct w:val="0"/>
        <w:autoSpaceDE/>
        <w:autoSpaceDN/>
        <w:bidi w:val="0"/>
        <w:adjustRightInd/>
        <w:snapToGrid/>
        <w:spacing w:line="240" w:lineRule="auto"/>
        <w:ind w:firstLine="480"/>
        <w:jc w:val="left"/>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shd w:val="clear" w:color="auto" w:fill="FFFFFF"/>
          <w:lang w:bidi="ar"/>
        </w:rPr>
        <w:t>与2014版标准（JT/T 903—2014）相比，本标准主要做了以下方面的修订：</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（一）增加了移动式主索鞍的分类</w:t>
      </w:r>
      <w:r>
        <w:rPr>
          <w:rFonts w:hint="eastAsia" w:ascii="仿宋" w:hAnsi="仿宋" w:eastAsia="仿宋" w:cs="仿宋"/>
          <w:color w:val="auto"/>
          <w:kern w:val="0"/>
          <w:sz w:val="32"/>
          <w:szCs w:val="32"/>
        </w:rPr>
        <w:t>。随着悬索桥跨径的增大，主缆不平衡力随之加大，制约着索塔塔身与基础设计。相对传统的缆塔锁定体系（主索鞍与索塔为固定连接），移动式主索鞍采用自平衡体系，实现温度、汽车荷载等常遇荷载作用下，两侧主缆水平分力和索鞍滚动摩擦力三者自平衡，水平力即为滚动摩擦力，能够较好地降低超高索塔弯矩及基础规模。</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（二）删除了不锈钢板和聚四氟乙烯板的要求，增加了移动副的要求。</w:t>
      </w:r>
      <w:r>
        <w:rPr>
          <w:rFonts w:hint="eastAsia" w:ascii="仿宋" w:hAnsi="仿宋" w:eastAsia="仿宋" w:cs="仿宋"/>
          <w:color w:val="auto"/>
          <w:kern w:val="0"/>
          <w:sz w:val="32"/>
          <w:szCs w:val="32"/>
        </w:rPr>
        <w:t>主索鞍在安装时，需要设置适应索鞍顶推的移动副。移动副可以为滚动移动副或滑动移动副，每类移动副又可以采用多种材料的组合，因此本标准在修订时给出移动副的要求，而不仅仅局限于不锈钢-聚四氟乙烯滑动副。</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（三）增加了焊接工艺评定时效性的要求。</w:t>
      </w:r>
      <w:r>
        <w:rPr>
          <w:rFonts w:hint="eastAsia" w:ascii="仿宋" w:hAnsi="仿宋" w:eastAsia="仿宋" w:cs="仿宋"/>
          <w:color w:val="auto"/>
          <w:kern w:val="0"/>
          <w:sz w:val="32"/>
          <w:szCs w:val="32"/>
        </w:rPr>
        <w:t>在悬索桥建设过程中，每个项目都是要求必须做焊接工艺评定试验的。导致同一制造单位在一年内甚至一两个月内需要多次重复实施相同的焊接工艺评定试验，造成了较大的社会资源浪费。 在本次标准修订中，借鉴国家标准的规定以及多年来索鞍制造经验，对焊接工艺评定试验作出有效期的规定，以避免长期重复做相同的</w:t>
      </w:r>
      <w:r>
        <w:rPr>
          <w:rFonts w:hint="eastAsia" w:ascii="仿宋" w:hAnsi="仿宋" w:eastAsia="仿宋" w:cs="仿宋"/>
          <w:color w:val="auto"/>
          <w:kern w:val="0"/>
          <w:sz w:val="32"/>
          <w:szCs w:val="32"/>
          <w:lang w:val="en-US" w:eastAsia="zh-CN"/>
        </w:rPr>
        <w:t>焊接工艺评定</w:t>
      </w:r>
      <w:r>
        <w:rPr>
          <w:rFonts w:hint="eastAsia" w:ascii="仿宋" w:hAnsi="仿宋" w:eastAsia="仿宋" w:cs="仿宋"/>
          <w:color w:val="auto"/>
          <w:kern w:val="0"/>
          <w:sz w:val="32"/>
          <w:szCs w:val="32"/>
        </w:rPr>
        <w:t>试验。</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（四）增加了索鞍主要承力焊缝应采用的坡口形式</w:t>
      </w:r>
      <w:r>
        <w:rPr>
          <w:rFonts w:hint="eastAsia" w:ascii="仿宋" w:hAnsi="仿宋" w:eastAsia="仿宋" w:cs="仿宋"/>
          <w:color w:val="auto"/>
          <w:kern w:val="0"/>
          <w:sz w:val="32"/>
          <w:szCs w:val="32"/>
        </w:rPr>
        <w:t>。铸焊式索鞍主要受力焊缝为鞍头和鞍体纵肋之间的焊缝，钢板厚度一般大于100 mm。该焊缝不仅承受主缆传递给索塔的竖向压力，还受到由于活载不同产生的主缆在索鞍两侧的水平力，宜采用全熔透的连接方式，并且焊后应进行无损检验。</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（五）增加了拉杆锌铬涂层防护工艺要求。</w:t>
      </w:r>
      <w:r>
        <w:rPr>
          <w:rFonts w:hint="eastAsia" w:ascii="仿宋" w:hAnsi="仿宋" w:eastAsia="仿宋" w:cs="仿宋"/>
          <w:color w:val="auto"/>
          <w:kern w:val="0"/>
          <w:sz w:val="32"/>
          <w:szCs w:val="32"/>
        </w:rPr>
        <w:t>大型悬索桥建设过程中，索鞍、索夹安装后需要经过较长时间才能进行相关的防护措施，在此过程中索夹螺杆、索鞍拉杆易发生锈蚀，拉杆采用的常规发黑、发蓝等措施不足以支撑长效防腐，油漆涂装则会影响螺纹的旋合，而镀锌又存在氢脆断裂的可能。经过多座桥梁的试验，采用锌铬涂层能够满足施工期间的有效防护，且不影响螺纹的旋合。</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（六）更改了索夹耳板区域无损检测要求。</w:t>
      </w:r>
      <w:r>
        <w:rPr>
          <w:rFonts w:hint="eastAsia" w:ascii="仿宋" w:hAnsi="仿宋" w:eastAsia="仿宋" w:cs="仿宋"/>
          <w:color w:val="auto"/>
          <w:kern w:val="0"/>
          <w:sz w:val="32"/>
          <w:szCs w:val="32"/>
        </w:rPr>
        <w:t>上版标准规定对销接式索夹耳板根部等区域进行射线检测抽查，无法进行时采用超声波检测代替射线检测。索夹耳板较厚，一般射线检测设备无法满足检测厚度要求，均需进行超声检测代替射线检测工艺评审。目前没有超声波检测代替射线检测的相关评定标准，难以操作。新版标准对此处做了修改，全部采用超声波检测，对重点区域提高检测等级，更具可操作性。</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（七）增加了附录E“铸钢件与钢板熔透焊缝的超声检测方法及质量评定”要求。</w:t>
      </w:r>
      <w:r>
        <w:rPr>
          <w:rFonts w:hint="eastAsia" w:ascii="仿宋" w:hAnsi="仿宋" w:eastAsia="仿宋" w:cs="仿宋"/>
          <w:color w:val="auto"/>
          <w:kern w:val="0"/>
          <w:sz w:val="32"/>
          <w:szCs w:val="32"/>
        </w:rPr>
        <w:t>由于缺失铸钢件与钢板焊缝超声检测的标准，长期以来对该类型的焊缝采用铸钢件母材的超声检测标准《铸钢件 超声检测  第1部分：一般用途铸钢件》（GB/T 7233.1）执行，其检测范围和缺陷评定并不适合焊缝。附录E采用《焊缝无损检测 超声检测 技术、检测等级和评定》（GB/T 11345）平底孔技术，利用斜探头对焊缝进行检测，通过对比试块来判定缺陷的等级，解决了国内无法对铸钢件和钢板焊缝进行超声检测的难题。</w:t>
      </w:r>
    </w:p>
    <w:p>
      <w:pPr>
        <w:keepNext w:val="0"/>
        <w:keepLines w:val="0"/>
        <w:pageBreakBefore w:val="0"/>
        <w:widowControl/>
        <w:kinsoku/>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（八）增加了附录F“主索鞍格栅安装要求”。</w:t>
      </w:r>
      <w:r>
        <w:rPr>
          <w:rFonts w:hint="eastAsia" w:ascii="仿宋" w:hAnsi="仿宋" w:eastAsia="仿宋" w:cs="仿宋"/>
          <w:color w:val="auto"/>
          <w:kern w:val="0"/>
          <w:sz w:val="32"/>
          <w:szCs w:val="32"/>
        </w:rPr>
        <w:t>国内多个悬索桥项目在安装主索鞍格栅时候，只是保证了格栅四角高差的误差在2 mm之内，对格栅安装后的整个平面度没有做规定，导致格栅安装后上平面度存在较大误差，进而影响后续施工过程中的主索鞍顶推。本标准从桥梁高质量发展角度出发，虽然安装内容并不包含在本产品标准范围内，以附录的形式给出主索鞍格栅安装的纵横向偏位和平面度要求，供参考。</w:t>
      </w:r>
    </w:p>
    <w:p>
      <w:pPr>
        <w:keepNext w:val="0"/>
        <w:keepLines w:val="0"/>
        <w:pageBreakBefore w:val="0"/>
        <w:widowControl/>
        <w:kinsoku/>
        <w:overflowPunct/>
        <w:topLinePunct w:val="0"/>
        <w:autoSpaceDE/>
        <w:autoSpaceDN/>
        <w:bidi w:val="0"/>
        <w:adjustRightInd/>
        <w:snapToGrid/>
        <w:spacing w:line="240" w:lineRule="auto"/>
        <w:textAlignment w:val="auto"/>
        <w:rPr>
          <w:rFonts w:hint="eastAsia" w:ascii="仿宋" w:hAnsi="仿宋" w:eastAsia="仿宋" w:cs="仿宋"/>
          <w:color w:val="auto"/>
          <w:kern w:val="0"/>
          <w:sz w:val="32"/>
          <w:szCs w:val="32"/>
        </w:rPr>
      </w:pPr>
    </w:p>
    <w:p>
      <w:pPr>
        <w:keepNext w:val="0"/>
        <w:keepLines w:val="0"/>
        <w:pageBreakBefore w:val="0"/>
        <w:widowControl/>
        <w:kinsoku/>
        <w:wordWrap w:val="0"/>
        <w:overflowPunct/>
        <w:topLinePunct w:val="0"/>
        <w:autoSpaceDE/>
        <w:autoSpaceDN/>
        <w:bidi w:val="0"/>
        <w:adjustRightInd/>
        <w:snapToGrid/>
        <w:spacing w:line="240" w:lineRule="auto"/>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shd w:val="clear" w:color="auto" w:fill="FFFFFF"/>
          <w:lang w:bidi="ar"/>
        </w:rPr>
        <w:t>文稿编纂：中交公路规划设计院有限公司 常志军  </w:t>
      </w:r>
    </w:p>
    <w:p>
      <w:pPr>
        <w:keepNext w:val="0"/>
        <w:keepLines w:val="0"/>
        <w:pageBreakBefore w:val="0"/>
        <w:widowControl/>
        <w:kinsoku/>
        <w:overflowPunct/>
        <w:topLinePunct w:val="0"/>
        <w:autoSpaceDE/>
        <w:autoSpaceDN/>
        <w:bidi w:val="0"/>
        <w:adjustRightInd/>
        <w:snapToGrid/>
        <w:spacing w:line="240" w:lineRule="auto"/>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shd w:val="clear" w:color="auto" w:fill="FFFFFF"/>
          <w:lang w:bidi="ar"/>
        </w:rPr>
        <w:t>文稿审核：全国交通工程设施（公路）标准化技术委员会 赵君黎</w:t>
      </w:r>
    </w:p>
    <w:p>
      <w:pPr>
        <w:keepNext w:val="0"/>
        <w:keepLines w:val="0"/>
        <w:pageBreakBefore w:val="0"/>
        <w:widowControl/>
        <w:kinsoku/>
        <w:overflowPunct/>
        <w:topLinePunct w:val="0"/>
        <w:autoSpaceDE/>
        <w:autoSpaceDN/>
        <w:bidi w:val="0"/>
        <w:adjustRightInd/>
        <w:snapToGrid/>
        <w:spacing w:line="240" w:lineRule="auto"/>
        <w:ind w:firstLine="640" w:firstLineChars="200"/>
        <w:textAlignment w:val="auto"/>
        <w:rPr>
          <w:rFonts w:hint="eastAsia" w:ascii="仿宋" w:hAnsi="仿宋" w:eastAsia="仿宋" w:cs="仿宋"/>
          <w:bCs/>
          <w:color w:val="auto"/>
          <w:kern w:val="0"/>
          <w:sz w:val="32"/>
          <w:szCs w:val="32"/>
        </w:rPr>
      </w:pPr>
    </w:p>
    <w:p>
      <w:pPr>
        <w:keepNext w:val="0"/>
        <w:keepLines w:val="0"/>
        <w:pageBreakBefore w:val="0"/>
        <w:kinsoku/>
        <w:overflowPunct/>
        <w:topLinePunct w:val="0"/>
        <w:autoSpaceDE/>
        <w:autoSpaceDN/>
        <w:bidi w:val="0"/>
        <w:adjustRightInd/>
        <w:snapToGrid/>
        <w:spacing w:line="240" w:lineRule="auto"/>
        <w:ind w:left="210" w:leftChars="100" w:firstLine="320" w:firstLineChars="100"/>
        <w:jc w:val="right"/>
        <w:textAlignment w:val="auto"/>
        <w:rPr>
          <w:rFonts w:hint="eastAsia" w:ascii="仿宋" w:hAnsi="仿宋" w:eastAsia="仿宋" w:cs="仿宋"/>
          <w:color w:val="auto"/>
          <w:sz w:val="32"/>
          <w:szCs w:val="32"/>
        </w:rPr>
      </w:pPr>
    </w:p>
    <w:sectPr>
      <w:footerReference r:id="rId3" w:type="default"/>
      <w:pgSz w:w="11906" w:h="16838"/>
      <w:pgMar w:top="1587" w:right="1814" w:bottom="1587" w:left="181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859230"/>
    </w:sdtPr>
    <w:sdtContent>
      <w:p>
        <w:pPr>
          <w:pStyle w:val="6"/>
          <w:jc w:val="center"/>
        </w:pPr>
        <w:r>
          <w:rPr>
            <w:rFonts w:cs="Times New Roman"/>
            <w:sz w:val="21"/>
            <w:szCs w:val="21"/>
          </w:rPr>
          <w:fldChar w:fldCharType="begin"/>
        </w:r>
        <w:r>
          <w:rPr>
            <w:rFonts w:cs="Times New Roman"/>
            <w:sz w:val="21"/>
            <w:szCs w:val="21"/>
          </w:rPr>
          <w:instrText xml:space="preserve">PAGE   \* MERGEFORMAT</w:instrText>
        </w:r>
        <w:r>
          <w:rPr>
            <w:rFonts w:cs="Times New Roman"/>
            <w:sz w:val="21"/>
            <w:szCs w:val="21"/>
          </w:rPr>
          <w:fldChar w:fldCharType="separate"/>
        </w:r>
        <w:r>
          <w:rPr>
            <w:rFonts w:cs="Times New Roman"/>
            <w:sz w:val="21"/>
            <w:szCs w:val="21"/>
            <w:lang w:val="zh-CN"/>
          </w:rPr>
          <w:t>1</w:t>
        </w:r>
        <w:r>
          <w:rPr>
            <w:rFonts w:cs="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2NGU3NzYyZTAxNTIzMTljZDhkOGY4NmY2ZTkzM2EifQ=="/>
  </w:docVars>
  <w:rsids>
    <w:rsidRoot w:val="001379CB"/>
    <w:rsid w:val="00052287"/>
    <w:rsid w:val="000600BF"/>
    <w:rsid w:val="000845D1"/>
    <w:rsid w:val="00092DFE"/>
    <w:rsid w:val="000C36AF"/>
    <w:rsid w:val="00107C8C"/>
    <w:rsid w:val="001379CB"/>
    <w:rsid w:val="00147E73"/>
    <w:rsid w:val="00210EB6"/>
    <w:rsid w:val="0022781A"/>
    <w:rsid w:val="002E6D89"/>
    <w:rsid w:val="00325B62"/>
    <w:rsid w:val="003A577D"/>
    <w:rsid w:val="003B5E06"/>
    <w:rsid w:val="003D2CE6"/>
    <w:rsid w:val="0040064A"/>
    <w:rsid w:val="004F490E"/>
    <w:rsid w:val="005118AC"/>
    <w:rsid w:val="00551CCF"/>
    <w:rsid w:val="005959F2"/>
    <w:rsid w:val="00654516"/>
    <w:rsid w:val="00674532"/>
    <w:rsid w:val="00780274"/>
    <w:rsid w:val="007D6B5B"/>
    <w:rsid w:val="007E751C"/>
    <w:rsid w:val="007F5C85"/>
    <w:rsid w:val="0081516B"/>
    <w:rsid w:val="008A67C1"/>
    <w:rsid w:val="009276C8"/>
    <w:rsid w:val="009D2E3C"/>
    <w:rsid w:val="00AC1DDD"/>
    <w:rsid w:val="00AC669A"/>
    <w:rsid w:val="00B906D9"/>
    <w:rsid w:val="00C444CF"/>
    <w:rsid w:val="00C52130"/>
    <w:rsid w:val="00CB4552"/>
    <w:rsid w:val="00CE5304"/>
    <w:rsid w:val="00D94821"/>
    <w:rsid w:val="00DA56ED"/>
    <w:rsid w:val="00DB7CE2"/>
    <w:rsid w:val="00DD1921"/>
    <w:rsid w:val="00E653D7"/>
    <w:rsid w:val="00E8246C"/>
    <w:rsid w:val="00EC4391"/>
    <w:rsid w:val="00F0319E"/>
    <w:rsid w:val="00F31849"/>
    <w:rsid w:val="00F57810"/>
    <w:rsid w:val="00F66A47"/>
    <w:rsid w:val="00FD06EF"/>
    <w:rsid w:val="02724C0C"/>
    <w:rsid w:val="0F3E52AE"/>
    <w:rsid w:val="12E37467"/>
    <w:rsid w:val="177E3E97"/>
    <w:rsid w:val="185F39BB"/>
    <w:rsid w:val="1A3A7E3E"/>
    <w:rsid w:val="1A487BAE"/>
    <w:rsid w:val="1F520E8D"/>
    <w:rsid w:val="1F905E56"/>
    <w:rsid w:val="204428A6"/>
    <w:rsid w:val="21D06385"/>
    <w:rsid w:val="237847DF"/>
    <w:rsid w:val="250C32D4"/>
    <w:rsid w:val="27815144"/>
    <w:rsid w:val="2D705683"/>
    <w:rsid w:val="30142600"/>
    <w:rsid w:val="33B02259"/>
    <w:rsid w:val="3D5620B0"/>
    <w:rsid w:val="42AE7E51"/>
    <w:rsid w:val="45531B4B"/>
    <w:rsid w:val="4689180C"/>
    <w:rsid w:val="46B551A1"/>
    <w:rsid w:val="47C27346"/>
    <w:rsid w:val="49B87801"/>
    <w:rsid w:val="4D1E64E7"/>
    <w:rsid w:val="540E2726"/>
    <w:rsid w:val="557E1851"/>
    <w:rsid w:val="6372336A"/>
    <w:rsid w:val="687419EA"/>
    <w:rsid w:val="68E87C2B"/>
    <w:rsid w:val="69B10BBF"/>
    <w:rsid w:val="6A752434"/>
    <w:rsid w:val="749B20FA"/>
    <w:rsid w:val="765D1540"/>
    <w:rsid w:val="7BEA6C58"/>
    <w:rsid w:val="7D2E5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cs="Times New Roman"/>
      <w:b/>
      <w:bCs/>
      <w:kern w:val="44"/>
      <w:sz w:val="48"/>
      <w:szCs w:val="48"/>
    </w:rPr>
  </w:style>
  <w:style w:type="paragraph" w:styleId="3">
    <w:name w:val="heading 2"/>
    <w:basedOn w:val="1"/>
    <w:next w:val="1"/>
    <w:semiHidden/>
    <w:unhideWhenUsed/>
    <w:qFormat/>
    <w:uiPriority w:val="9"/>
    <w:pPr>
      <w:spacing w:beforeAutospacing="1" w:afterAutospacing="1"/>
      <w:jc w:val="left"/>
      <w:outlineLvl w:val="1"/>
    </w:pPr>
    <w:rPr>
      <w:rFonts w:hint="eastAsia" w:ascii="宋体" w:hAnsi="宋体" w:cs="Times New Roman"/>
      <w:b/>
      <w:bCs/>
      <w:kern w:val="0"/>
      <w:sz w:val="36"/>
      <w:szCs w:val="36"/>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6"/>
    <w:semiHidden/>
    <w:unhideWhenUsed/>
    <w:qFormat/>
    <w:uiPriority w:val="99"/>
    <w:pPr>
      <w:jc w:val="left"/>
    </w:pPr>
  </w:style>
  <w:style w:type="paragraph" w:styleId="5">
    <w:name w:val="Balloon Text"/>
    <w:basedOn w:val="1"/>
    <w:link w:val="18"/>
    <w:semiHidden/>
    <w:unhideWhenUsed/>
    <w:qFormat/>
    <w:uiPriority w:val="99"/>
    <w:rPr>
      <w:sz w:val="18"/>
      <w:szCs w:val="18"/>
    </w:rPr>
  </w:style>
  <w:style w:type="paragraph" w:styleId="6">
    <w:name w:val="footer"/>
    <w:basedOn w:val="1"/>
    <w:link w:val="15"/>
    <w:unhideWhenUsed/>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paragraph" w:styleId="9">
    <w:name w:val="annotation subject"/>
    <w:basedOn w:val="4"/>
    <w:next w:val="4"/>
    <w:link w:val="17"/>
    <w:semiHidden/>
    <w:unhideWhenUsed/>
    <w:qFormat/>
    <w:uiPriority w:val="99"/>
    <w:rPr>
      <w:b/>
      <w:bCs/>
    </w:rPr>
  </w:style>
  <w:style w:type="character" w:styleId="12">
    <w:name w:val="Strong"/>
    <w:basedOn w:val="11"/>
    <w:qFormat/>
    <w:uiPriority w:val="22"/>
    <w:rPr>
      <w:b/>
    </w:rPr>
  </w:style>
  <w:style w:type="character" w:styleId="13">
    <w:name w:val="annotation reference"/>
    <w:basedOn w:val="11"/>
    <w:semiHidden/>
    <w:unhideWhenUsed/>
    <w:qFormat/>
    <w:uiPriority w:val="99"/>
    <w:rPr>
      <w:sz w:val="21"/>
      <w:szCs w:val="21"/>
    </w:rPr>
  </w:style>
  <w:style w:type="character" w:customStyle="1" w:styleId="14">
    <w:name w:val="页眉 Char"/>
    <w:basedOn w:val="11"/>
    <w:link w:val="7"/>
    <w:qFormat/>
    <w:uiPriority w:val="99"/>
    <w:rPr>
      <w:sz w:val="18"/>
      <w:szCs w:val="18"/>
    </w:rPr>
  </w:style>
  <w:style w:type="character" w:customStyle="1" w:styleId="15">
    <w:name w:val="页脚 Char"/>
    <w:basedOn w:val="11"/>
    <w:link w:val="6"/>
    <w:qFormat/>
    <w:uiPriority w:val="99"/>
    <w:rPr>
      <w:sz w:val="18"/>
      <w:szCs w:val="18"/>
    </w:rPr>
  </w:style>
  <w:style w:type="character" w:customStyle="1" w:styleId="16">
    <w:name w:val="批注文字 Char"/>
    <w:basedOn w:val="11"/>
    <w:link w:val="4"/>
    <w:semiHidden/>
    <w:qFormat/>
    <w:uiPriority w:val="99"/>
    <w:rPr>
      <w:rFonts w:cstheme="minorBidi"/>
      <w:kern w:val="2"/>
      <w:sz w:val="21"/>
      <w:szCs w:val="22"/>
    </w:rPr>
  </w:style>
  <w:style w:type="character" w:customStyle="1" w:styleId="17">
    <w:name w:val="批注主题 Char"/>
    <w:basedOn w:val="16"/>
    <w:link w:val="9"/>
    <w:semiHidden/>
    <w:qFormat/>
    <w:uiPriority w:val="99"/>
    <w:rPr>
      <w:rFonts w:cstheme="minorBidi"/>
      <w:b/>
      <w:bCs/>
      <w:kern w:val="2"/>
      <w:sz w:val="21"/>
      <w:szCs w:val="22"/>
    </w:rPr>
  </w:style>
  <w:style w:type="character" w:customStyle="1" w:styleId="18">
    <w:name w:val="批注框文本 Char"/>
    <w:basedOn w:val="11"/>
    <w:link w:val="5"/>
    <w:semiHidden/>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2020</Words>
  <Characters>2073</Characters>
  <Lines>14</Lines>
  <Paragraphs>4</Paragraphs>
  <TotalTime>27</TotalTime>
  <ScaleCrop>false</ScaleCrop>
  <LinksUpToDate>false</LinksUpToDate>
  <CharactersWithSpaces>2089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2023-03-24T07:08:00Z</dcterms:created>
  <dc:creator>Wei WANG</dc:creator>
  <cp:lastModifiedBy>黄森</cp:lastModifiedBy>
  <dcterms:modified xsi:type="dcterms:W3CDTF">2024-12-30T05:30:47Z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D2611985DAC544B495A1169615513F56_13</vt:lpwstr>
  </property>
</Properties>
</file>